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F10EB3">
      <w:pPr>
        <w:ind w:left="1600" w:hanging="1760" w:hangingChars="400"/>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关于鄄城县城区环境卫生设施专项规划（2023-2035）的会议审议</w:t>
      </w:r>
    </w:p>
    <w:p w14:paraId="7D06D55B">
      <w:pPr>
        <w:rPr>
          <w:rFonts w:hint="eastAsia"/>
          <w:sz w:val="40"/>
          <w:szCs w:val="48"/>
          <w:lang w:val="en-US" w:eastAsia="zh-CN"/>
        </w:rPr>
      </w:pPr>
      <w:r>
        <w:rPr>
          <w:rFonts w:hint="eastAsia"/>
          <w:sz w:val="40"/>
          <w:szCs w:val="48"/>
          <w:lang w:val="en-US" w:eastAsia="zh-CN"/>
        </w:rPr>
        <w:t xml:space="preserve">  </w:t>
      </w:r>
    </w:p>
    <w:p w14:paraId="138DCAE9">
      <w:pPr>
        <w:ind w:firstLine="640" w:firstLineChars="200"/>
        <w:rPr>
          <w:rFonts w:hint="default"/>
          <w:sz w:val="40"/>
          <w:szCs w:val="48"/>
          <w:lang w:val="en-US" w:eastAsia="zh-CN"/>
        </w:rPr>
      </w:pPr>
      <w:r>
        <w:rPr>
          <w:rFonts w:hint="eastAsia" w:ascii="仿宋_GB2312" w:hAnsi="仿宋_GB2312" w:eastAsia="仿宋_GB2312" w:cs="仿宋_GB2312"/>
          <w:sz w:val="32"/>
          <w:szCs w:val="32"/>
          <w:lang w:val="en-US" w:eastAsia="zh-CN"/>
        </w:rPr>
        <w:t>2024年2月6日鄄城县综合行政执法局邀请菏泽市行政审批服务局、菏泽市自然资源和规划局、牡丹区国土空间规划研究遥感中心等单位的专家组成专家论证委员会，对《鄄城县城区环境卫生设施专项规划（2023-2035年）》（以下简称《规划》进行了论证），县自然资源和规划局、住建局、审批局、环保局、开发区管委会、陈王街道、古泉街道、凤凰镇等相关部门负责人参加了会议。</w:t>
      </w:r>
      <w:r>
        <w:rPr>
          <w:rFonts w:hint="default"/>
          <w:sz w:val="40"/>
          <w:szCs w:val="48"/>
          <w:lang w:val="en-US" w:eastAsia="zh-CN"/>
        </w:rPr>
        <w:drawing>
          <wp:inline distT="0" distB="0" distL="114300" distR="114300">
            <wp:extent cx="5257800" cy="3943350"/>
            <wp:effectExtent l="0" t="0" r="0" b="0"/>
            <wp:docPr id="1" name="图片 1" descr="f75f9edcac958819a9078b5a4b30c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75f9edcac958819a9078b5a4b30c55"/>
                    <pic:cNvPicPr>
                      <a:picLocks noChangeAspect="1"/>
                    </pic:cNvPicPr>
                  </pic:nvPicPr>
                  <pic:blipFill>
                    <a:blip r:embed="rId4"/>
                    <a:stretch>
                      <a:fillRect/>
                    </a:stretch>
                  </pic:blipFill>
                  <pic:spPr>
                    <a:xfrm>
                      <a:off x="0" y="0"/>
                      <a:ext cx="5257800" cy="3943350"/>
                    </a:xfrm>
                    <a:prstGeom prst="rect">
                      <a:avLst/>
                    </a:prstGeom>
                  </pic:spPr>
                </pic:pic>
              </a:graphicData>
            </a:graphic>
          </wp:inline>
        </w:drawing>
      </w:r>
    </w:p>
    <w:p w14:paraId="461EC53D">
      <w:pPr>
        <w:rPr>
          <w:rFonts w:hint="default"/>
          <w:sz w:val="40"/>
          <w:szCs w:val="48"/>
          <w:lang w:val="en-US" w:eastAsia="zh-CN"/>
        </w:rPr>
      </w:pPr>
      <w:r>
        <w:rPr>
          <w:rFonts w:hint="default"/>
          <w:sz w:val="40"/>
          <w:szCs w:val="48"/>
          <w:lang w:val="en-US" w:eastAsia="zh-CN"/>
        </w:rPr>
        <w:drawing>
          <wp:inline distT="0" distB="0" distL="114300" distR="114300">
            <wp:extent cx="5264785" cy="3947160"/>
            <wp:effectExtent l="0" t="0" r="12065" b="15240"/>
            <wp:docPr id="2" name="图片 2" descr="6641dc8be5e7726cce00d6fcc27c4c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6641dc8be5e7726cce00d6fcc27c4c7"/>
                    <pic:cNvPicPr>
                      <a:picLocks noChangeAspect="1"/>
                    </pic:cNvPicPr>
                  </pic:nvPicPr>
                  <pic:blipFill>
                    <a:blip r:embed="rId5"/>
                    <a:stretch>
                      <a:fillRect/>
                    </a:stretch>
                  </pic:blipFill>
                  <pic:spPr>
                    <a:xfrm>
                      <a:off x="0" y="0"/>
                      <a:ext cx="5264785" cy="3947160"/>
                    </a:xfrm>
                    <a:prstGeom prst="rect">
                      <a:avLst/>
                    </a:prstGeom>
                  </pic:spPr>
                </pic:pic>
              </a:graphicData>
            </a:graphic>
          </wp:inline>
        </w:drawing>
      </w:r>
    </w:p>
    <w:p w14:paraId="307DF853">
      <w:pPr>
        <w:rPr>
          <w:rFonts w:hint="eastAsia" w:ascii="仿宋_GB2312" w:hAnsi="仿宋_GB2312" w:eastAsia="仿宋_GB2312" w:cs="仿宋_GB2312"/>
          <w:sz w:val="32"/>
          <w:szCs w:val="32"/>
          <w:lang w:val="en-US" w:eastAsia="zh-CN"/>
        </w:rPr>
      </w:pPr>
      <w:r>
        <w:rPr>
          <w:rFonts w:hint="eastAsia"/>
          <w:sz w:val="40"/>
          <w:szCs w:val="48"/>
          <w:lang w:val="en-US" w:eastAsia="zh-CN"/>
        </w:rPr>
        <w:t xml:space="preserve">  </w:t>
      </w:r>
      <w:r>
        <w:rPr>
          <w:rFonts w:hint="eastAsia" w:ascii="仿宋_GB2312" w:hAnsi="仿宋_GB2312" w:eastAsia="仿宋_GB2312" w:cs="仿宋_GB2312"/>
          <w:sz w:val="32"/>
          <w:szCs w:val="32"/>
          <w:lang w:val="en-US" w:eastAsia="zh-CN"/>
        </w:rPr>
        <w:t>与会人员听取了规划方案汇报，审阅了规划文本和图件，并进行了质询，经讨论一致认为：该规划指导思想明确，基础工作扎实，技术路线可行，布局基本合理，内容比较全面，原则通过该规划。</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幼圆">
    <w:panose1 w:val="0201050906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gxN2ZjNDU4MzUyYjNmZGRiMmVhMzJiNjdhOGZlYzAifQ=="/>
  </w:docVars>
  <w:rsids>
    <w:rsidRoot w:val="00000000"/>
    <w:rsid w:val="165318F8"/>
    <w:rsid w:val="50BB71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277</Words>
  <Characters>296</Characters>
  <Lines>0</Lines>
  <Paragraphs>0</Paragraphs>
  <TotalTime>115</TotalTime>
  <ScaleCrop>false</ScaleCrop>
  <LinksUpToDate>false</LinksUpToDate>
  <CharactersWithSpaces>300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2024-11-14T03:55:00Z</dcterms:created>
  <dc:creator>Administrator</dc:creator>
  <cp:lastModifiedBy>WPS_1715760179</cp:lastModifiedBy>
  <dcterms:modified xsi:type="dcterms:W3CDTF">2024-11-14T08:55:36Z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39B38F3F407244898EA98DDD816E930A_13</vt:lpwstr>
  </property>
</Properties>
</file>